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tylesWithEffects.xml" ContentType="application/vnd.ms-word.stylesWithEffect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AB8" w:rsidRDefault="003459EF">
      <w:pPr>
        <w:rPr>
          <w:b/>
        </w:rPr>
      </w:pPr>
      <w:bookmarkStart w:id="0" w:name="_GoBack"/>
      <w:bookmarkEnd w:id="0"/>
    </w:p>
    <w:p w:rsidR="007E0AB8" w:rsidRDefault="004D5DD8" w:rsidP="007E0AB8">
      <w:pPr>
        <w:jc w:val="center"/>
        <w:rPr>
          <w:b/>
        </w:rPr>
      </w:pPr>
      <w:r>
        <w:rPr>
          <w:b/>
        </w:rPr>
        <w:t xml:space="preserve">New Voices </w:t>
      </w:r>
      <w:r w:rsidR="004E7750">
        <w:rPr>
          <w:b/>
        </w:rPr>
        <w:t>– 25pts.</w:t>
      </w:r>
    </w:p>
    <w:p w:rsidR="007E0AB8" w:rsidRPr="00417077" w:rsidRDefault="003459EF" w:rsidP="007E0AB8">
      <w:pPr>
        <w:jc w:val="center"/>
        <w:rPr>
          <w:b/>
          <w:sz w:val="22"/>
          <w:szCs w:val="22"/>
        </w:rPr>
      </w:pPr>
    </w:p>
    <w:p w:rsidR="007E0AB8" w:rsidRPr="00417077" w:rsidRDefault="004D5DD8" w:rsidP="007E0AB8">
      <w:pPr>
        <w:ind w:firstLine="720"/>
        <w:rPr>
          <w:sz w:val="20"/>
          <w:szCs w:val="20"/>
        </w:rPr>
      </w:pPr>
      <w:r w:rsidRPr="00417077">
        <w:rPr>
          <w:sz w:val="20"/>
          <w:szCs w:val="20"/>
        </w:rPr>
        <w:t xml:space="preserve">If the first assignment asked you to negotiate extremities of formal and informal voices, the second assignment asks that you make “new” by re-folding the old. Drawing inspiration from singer/song(re)writer, Weird Al </w:t>
      </w:r>
      <w:proofErr w:type="spellStart"/>
      <w:r w:rsidRPr="00417077">
        <w:rPr>
          <w:sz w:val="20"/>
          <w:szCs w:val="20"/>
        </w:rPr>
        <w:t>Yankovich</w:t>
      </w:r>
      <w:proofErr w:type="spellEnd"/>
      <w:r w:rsidRPr="00417077">
        <w:rPr>
          <w:sz w:val="20"/>
          <w:szCs w:val="20"/>
        </w:rPr>
        <w:t>—an artist who underscores a practice of sentence emulation that extends back to the progymnasmata practices of the ancient Greeks (exercises common enough to consider “</w:t>
      </w:r>
      <w:r w:rsidRPr="00417077">
        <w:rPr>
          <w:i/>
          <w:sz w:val="20"/>
          <w:szCs w:val="20"/>
        </w:rPr>
        <w:t xml:space="preserve">Weird </w:t>
      </w:r>
      <w:r w:rsidRPr="00417077">
        <w:rPr>
          <w:sz w:val="20"/>
          <w:szCs w:val="20"/>
        </w:rPr>
        <w:t>Al” somewhat “</w:t>
      </w:r>
      <w:r w:rsidRPr="00417077">
        <w:rPr>
          <w:i/>
          <w:sz w:val="20"/>
          <w:szCs w:val="20"/>
        </w:rPr>
        <w:t>Norm</w:t>
      </w:r>
      <w:r w:rsidRPr="00417077">
        <w:rPr>
          <w:sz w:val="20"/>
          <w:szCs w:val="20"/>
        </w:rPr>
        <w:t xml:space="preserve"> Al”)—re-mix the four paragraphs on the second page of this handout. That is, choose new a topic and replace the nouns and verbs of the existing paragraphs with words of your own. Keep the same grammatical marks and some of the connective tissue. Avoid choosing the same subject matter for your work (i.e., Avoid writing about a person if the original writes about </w:t>
      </w:r>
      <w:proofErr w:type="gramStart"/>
      <w:r w:rsidRPr="00417077">
        <w:rPr>
          <w:sz w:val="20"/>
          <w:szCs w:val="20"/>
        </w:rPr>
        <w:t>a  person</w:t>
      </w:r>
      <w:proofErr w:type="gramEnd"/>
      <w:r w:rsidRPr="00417077">
        <w:rPr>
          <w:sz w:val="20"/>
          <w:szCs w:val="20"/>
        </w:rPr>
        <w:t>—choose a place or an object instead.)</w:t>
      </w:r>
    </w:p>
    <w:p w:rsidR="007E0AB8" w:rsidRPr="00417077" w:rsidRDefault="003459EF" w:rsidP="007E0AB8">
      <w:pPr>
        <w:ind w:firstLine="720"/>
        <w:rPr>
          <w:sz w:val="20"/>
          <w:szCs w:val="20"/>
        </w:rPr>
      </w:pPr>
    </w:p>
    <w:p w:rsidR="007E0AB8" w:rsidRPr="00417077" w:rsidRDefault="004D5DD8" w:rsidP="007E0AB8">
      <w:pPr>
        <w:ind w:firstLine="720"/>
        <w:rPr>
          <w:sz w:val="20"/>
          <w:szCs w:val="20"/>
        </w:rPr>
      </w:pPr>
      <w:r w:rsidRPr="00417077">
        <w:rPr>
          <w:sz w:val="20"/>
          <w:szCs w:val="20"/>
        </w:rPr>
        <w:t>Below is an example we discussed in class. Remember that part of what you are doing in converting the original into a series of “blanks” is connected to strategies that part of the Mad Libs parlor game. Note that one of the goals of this assignment is to help you re-familiarize yourself with grammatical structures like colons, semi-colons, and parenthetical asides. If the original uses past tense or “</w:t>
      </w:r>
      <w:proofErr w:type="spellStart"/>
      <w:r w:rsidRPr="00417077">
        <w:rPr>
          <w:sz w:val="20"/>
          <w:szCs w:val="20"/>
        </w:rPr>
        <w:t>ing</w:t>
      </w:r>
      <w:proofErr w:type="spellEnd"/>
      <w:r w:rsidRPr="00417077">
        <w:rPr>
          <w:sz w:val="20"/>
          <w:szCs w:val="20"/>
        </w:rPr>
        <w:t xml:space="preserve">” forms the verb, be sure to adopt these verbs too, as best you can.  </w:t>
      </w:r>
    </w:p>
    <w:p w:rsidR="007E0AB8" w:rsidRPr="00417077" w:rsidRDefault="003459EF" w:rsidP="007E0AB8">
      <w:pPr>
        <w:rPr>
          <w:sz w:val="20"/>
          <w:szCs w:val="20"/>
        </w:rPr>
      </w:pPr>
    </w:p>
    <w:p w:rsidR="007E0AB8" w:rsidRPr="00417077" w:rsidRDefault="004D5DD8" w:rsidP="007E0AB8">
      <w:pPr>
        <w:rPr>
          <w:b/>
          <w:sz w:val="20"/>
          <w:szCs w:val="20"/>
        </w:rPr>
      </w:pPr>
      <w:r w:rsidRPr="00417077">
        <w:rPr>
          <w:b/>
          <w:sz w:val="20"/>
          <w:szCs w:val="20"/>
        </w:rPr>
        <w:t xml:space="preserve">Markham’s Original     </w:t>
      </w:r>
    </w:p>
    <w:p w:rsidR="007E0AB8" w:rsidRPr="00417077" w:rsidRDefault="004D5DD8">
      <w:pPr>
        <w:rPr>
          <w:sz w:val="20"/>
          <w:szCs w:val="20"/>
        </w:rPr>
      </w:pPr>
      <w:r w:rsidRPr="00417077">
        <w:rPr>
          <w:sz w:val="20"/>
          <w:szCs w:val="20"/>
        </w:rPr>
        <w:t xml:space="preserve">Africa is mystic; it is wild; it is a sweltering inferno; it’s a photographer’s paradise, a hunter’s Valhalla, an </w:t>
      </w:r>
      <w:proofErr w:type="spellStart"/>
      <w:r w:rsidRPr="00417077">
        <w:rPr>
          <w:sz w:val="20"/>
          <w:szCs w:val="20"/>
        </w:rPr>
        <w:t>escaptist’s</w:t>
      </w:r>
      <w:proofErr w:type="spellEnd"/>
      <w:r w:rsidRPr="00417077">
        <w:rPr>
          <w:sz w:val="20"/>
          <w:szCs w:val="20"/>
        </w:rPr>
        <w:t xml:space="preserve"> Utopia. It is what you will, and it withstands all interpretations. It is the last vestige of a dead world or the cradle of a shiny new one. To a lot of people, as to myself, it is just “home.” It is all these things but one thing—it is never dull.</w:t>
      </w:r>
    </w:p>
    <w:p w:rsidR="007E0AB8" w:rsidRPr="00417077" w:rsidRDefault="003459EF">
      <w:pPr>
        <w:rPr>
          <w:sz w:val="20"/>
          <w:szCs w:val="20"/>
        </w:rPr>
      </w:pPr>
    </w:p>
    <w:p w:rsidR="007E0AB8" w:rsidRPr="00417077" w:rsidRDefault="004D5DD8">
      <w:pPr>
        <w:rPr>
          <w:b/>
          <w:sz w:val="20"/>
          <w:szCs w:val="20"/>
        </w:rPr>
      </w:pPr>
      <w:r w:rsidRPr="00417077">
        <w:rPr>
          <w:b/>
          <w:sz w:val="20"/>
          <w:szCs w:val="20"/>
        </w:rPr>
        <w:t>Preparing for an Emulation</w:t>
      </w:r>
    </w:p>
    <w:p w:rsidR="007E0AB8" w:rsidRPr="00417077" w:rsidRDefault="004D5DD8">
      <w:pPr>
        <w:rPr>
          <w:sz w:val="20"/>
          <w:szCs w:val="20"/>
        </w:rPr>
      </w:pPr>
      <w:r w:rsidRPr="00417077">
        <w:rPr>
          <w:sz w:val="20"/>
          <w:szCs w:val="20"/>
        </w:rPr>
        <w:t>[Blank] is [blank]; it is [blank]; it is a [</w:t>
      </w:r>
      <w:proofErr w:type="gramStart"/>
      <w:r w:rsidRPr="00417077">
        <w:rPr>
          <w:sz w:val="20"/>
          <w:szCs w:val="20"/>
        </w:rPr>
        <w:t>blank]ING</w:t>
      </w:r>
      <w:proofErr w:type="gramEnd"/>
      <w:r w:rsidRPr="00417077">
        <w:rPr>
          <w:sz w:val="20"/>
          <w:szCs w:val="20"/>
        </w:rPr>
        <w:t xml:space="preserve"> [blank]; it is a [blank]’s [blank], a [blank]’s [blank], a [blank]’s [blank]. It is what you [blank], and it withstands all [blank]. It is the last [blank] of a [blank] or the [blank] of a [</w:t>
      </w:r>
      <w:proofErr w:type="gramStart"/>
      <w:r w:rsidRPr="00417077">
        <w:rPr>
          <w:sz w:val="20"/>
          <w:szCs w:val="20"/>
        </w:rPr>
        <w:t>blank]Y</w:t>
      </w:r>
      <w:proofErr w:type="gramEnd"/>
      <w:r w:rsidRPr="00417077">
        <w:rPr>
          <w:sz w:val="20"/>
          <w:szCs w:val="20"/>
        </w:rPr>
        <w:t xml:space="preserve"> [blank] one. To a lot of [blank], as to [blank], it is just “[blank].” It is all these things but one thing—it is never [blank]. </w:t>
      </w:r>
    </w:p>
    <w:p w:rsidR="007E0AB8" w:rsidRPr="00417077" w:rsidRDefault="003459EF">
      <w:pPr>
        <w:rPr>
          <w:sz w:val="20"/>
          <w:szCs w:val="20"/>
        </w:rPr>
      </w:pPr>
    </w:p>
    <w:p w:rsidR="007E0AB8" w:rsidRPr="00417077" w:rsidRDefault="004D5DD8">
      <w:pPr>
        <w:rPr>
          <w:b/>
          <w:sz w:val="20"/>
          <w:szCs w:val="20"/>
        </w:rPr>
      </w:pPr>
      <w:r w:rsidRPr="00417077">
        <w:rPr>
          <w:b/>
          <w:sz w:val="20"/>
          <w:szCs w:val="20"/>
        </w:rPr>
        <w:t>Tuchman’s Original</w:t>
      </w:r>
    </w:p>
    <w:p w:rsidR="007E0AB8" w:rsidRPr="00417077" w:rsidRDefault="004D5DD8">
      <w:pPr>
        <w:rPr>
          <w:sz w:val="20"/>
          <w:szCs w:val="20"/>
        </w:rPr>
      </w:pPr>
      <w:r w:rsidRPr="00417077">
        <w:rPr>
          <w:sz w:val="20"/>
          <w:szCs w:val="20"/>
        </w:rPr>
        <w:t>The disease was bubonic plague, present in two forms: one that infected the bloodstream, causing buboes and internal bleeding, and was spread by contact; and a second, more virulent pneumonic type that infected the lungs and was spread by respiratory infection. The presence of both at once caused the high mortality and speed of contagion. So lethal was the disease that cases were known of persons going to bed well and dying before they woke, of doctor’s catching the illness at a bedside and dying before the patient.</w:t>
      </w:r>
    </w:p>
    <w:p w:rsidR="007E0AB8" w:rsidRPr="00417077" w:rsidRDefault="003459EF">
      <w:pPr>
        <w:rPr>
          <w:sz w:val="20"/>
          <w:szCs w:val="20"/>
        </w:rPr>
      </w:pPr>
    </w:p>
    <w:p w:rsidR="007E0AB8" w:rsidRPr="00417077" w:rsidRDefault="004D5DD8">
      <w:pPr>
        <w:rPr>
          <w:b/>
          <w:sz w:val="20"/>
          <w:szCs w:val="20"/>
        </w:rPr>
      </w:pPr>
      <w:r w:rsidRPr="00417077">
        <w:rPr>
          <w:b/>
          <w:sz w:val="20"/>
          <w:szCs w:val="20"/>
        </w:rPr>
        <w:t>Assignment Explained Using Tuchman’s Example</w:t>
      </w:r>
    </w:p>
    <w:p w:rsidR="007E0AB8" w:rsidRDefault="004D5DD8">
      <w:pPr>
        <w:rPr>
          <w:sz w:val="20"/>
          <w:szCs w:val="20"/>
        </w:rPr>
      </w:pPr>
      <w:r w:rsidRPr="00417077">
        <w:rPr>
          <w:sz w:val="20"/>
          <w:szCs w:val="20"/>
        </w:rPr>
        <w:t xml:space="preserve">The assignment was New Voices, present in two steps: one that turned the nouns and verbs into blanks, opening possibilities and inventive variation, and yet stayed true to structure; and a second, more difficult step that asked students to choose topics to re-mix in these structures. The presence of both steps at once resulted high scores and speed of comprehension. So effective were these emulations that cases were known of students diving into paragraphs so far and effectively that before they knew it, they were surpassing the instructor’s example emulation at a high rate and completing in-class practice examples before him. </w:t>
      </w:r>
    </w:p>
    <w:p w:rsidR="007E0AB8" w:rsidRDefault="003459EF">
      <w:pPr>
        <w:rPr>
          <w:sz w:val="20"/>
          <w:szCs w:val="20"/>
        </w:rPr>
      </w:pPr>
    </w:p>
    <w:p w:rsidR="007E0AB8" w:rsidRPr="00C42190" w:rsidRDefault="004D5DD8">
      <w:pPr>
        <w:rPr>
          <w:b/>
          <w:sz w:val="20"/>
          <w:szCs w:val="20"/>
        </w:rPr>
      </w:pPr>
      <w:r w:rsidRPr="00C42190">
        <w:rPr>
          <w:b/>
          <w:sz w:val="20"/>
          <w:szCs w:val="20"/>
        </w:rPr>
        <w:t>Assignment Specifics</w:t>
      </w:r>
    </w:p>
    <w:p w:rsidR="007E0AB8" w:rsidRDefault="004D5DD8">
      <w:pPr>
        <w:rPr>
          <w:sz w:val="20"/>
          <w:szCs w:val="20"/>
        </w:rPr>
      </w:pPr>
      <w:r>
        <w:rPr>
          <w:sz w:val="20"/>
          <w:szCs w:val="20"/>
        </w:rPr>
        <w:t>1</w:t>
      </w:r>
      <w:r w:rsidRPr="007E0AB8">
        <w:rPr>
          <w:b/>
          <w:sz w:val="20"/>
          <w:szCs w:val="20"/>
        </w:rPr>
        <w:t xml:space="preserve">) </w:t>
      </w:r>
      <w:r w:rsidR="003459EF">
        <w:rPr>
          <w:b/>
          <w:i/>
          <w:sz w:val="20"/>
          <w:szCs w:val="20"/>
        </w:rPr>
        <w:t>Emulate THREE</w:t>
      </w:r>
      <w:r w:rsidRPr="007E0AB8">
        <w:rPr>
          <w:b/>
          <w:i/>
          <w:sz w:val="20"/>
          <w:szCs w:val="20"/>
        </w:rPr>
        <w:t xml:space="preserve"> of the paragraphs</w:t>
      </w:r>
      <w:r>
        <w:rPr>
          <w:sz w:val="20"/>
          <w:szCs w:val="20"/>
        </w:rPr>
        <w:t xml:space="preserve"> provided (see Ed Abbey, Elizabeth Arthur and two by Annie Dillard).</w:t>
      </w:r>
    </w:p>
    <w:p w:rsidR="007E0AB8" w:rsidRDefault="004D5DD8">
      <w:pPr>
        <w:rPr>
          <w:sz w:val="20"/>
          <w:szCs w:val="20"/>
        </w:rPr>
      </w:pPr>
      <w:r>
        <w:rPr>
          <w:sz w:val="20"/>
          <w:szCs w:val="20"/>
        </w:rPr>
        <w:t>2</w:t>
      </w:r>
      <w:r w:rsidRPr="007E0AB8">
        <w:rPr>
          <w:b/>
          <w:sz w:val="20"/>
          <w:szCs w:val="20"/>
        </w:rPr>
        <w:t xml:space="preserve">) </w:t>
      </w:r>
      <w:r w:rsidRPr="007E0AB8">
        <w:rPr>
          <w:b/>
          <w:i/>
          <w:sz w:val="20"/>
          <w:szCs w:val="20"/>
        </w:rPr>
        <w:t>Write a meta-reflection</w:t>
      </w:r>
      <w:r>
        <w:rPr>
          <w:sz w:val="20"/>
          <w:szCs w:val="20"/>
        </w:rPr>
        <w:t xml:space="preserve"> on this project that addresses the following areas: a) How long did the project take you? b) Which of the four paragraphs you emulated were easy/hard for you</w:t>
      </w:r>
      <w:proofErr w:type="gramStart"/>
      <w:r>
        <w:rPr>
          <w:sz w:val="20"/>
          <w:szCs w:val="20"/>
        </w:rPr>
        <w:t>?,</w:t>
      </w:r>
      <w:proofErr w:type="gramEnd"/>
      <w:r>
        <w:rPr>
          <w:sz w:val="20"/>
          <w:szCs w:val="20"/>
        </w:rPr>
        <w:t xml:space="preserve"> c) Describe your familiarity with the grammatical marks (dashes, semi-colons, parenthetical asides) these authors used. How comfortable were you with their strategies?</w:t>
      </w:r>
    </w:p>
    <w:p w:rsidR="007E0AB8" w:rsidRDefault="004D5DD8">
      <w:pPr>
        <w:rPr>
          <w:sz w:val="20"/>
          <w:szCs w:val="20"/>
        </w:rPr>
      </w:pPr>
      <w:r>
        <w:rPr>
          <w:sz w:val="20"/>
          <w:szCs w:val="20"/>
        </w:rPr>
        <w:t xml:space="preserve">3) </w:t>
      </w:r>
      <w:r w:rsidRPr="007E0AB8">
        <w:rPr>
          <w:b/>
          <w:i/>
          <w:sz w:val="20"/>
          <w:szCs w:val="20"/>
        </w:rPr>
        <w:t>If you had to pick a writer or songwriter to emulate, who would it be? Why?</w:t>
      </w:r>
      <w:r>
        <w:rPr>
          <w:sz w:val="20"/>
          <w:szCs w:val="20"/>
        </w:rPr>
        <w:t xml:space="preserve"> Provide a brief sample of their work. If you are inclined, try to emulate some aspect of this example. (The main thing, however, is to get to know who you enjoy reading and/or listening to. Abbey, Arthur, and Dillard are old favorites of mine. What do you think? Could you get into either of them? We’ll be reading more Abbey and Dillard later in the semester.) </w:t>
      </w:r>
    </w:p>
    <w:p w:rsidR="007E0AB8" w:rsidRPr="001A0378" w:rsidRDefault="003459EF">
      <w:pPr>
        <w:rPr>
          <w:sz w:val="20"/>
          <w:szCs w:val="20"/>
        </w:rPr>
      </w:pPr>
    </w:p>
    <w:p w:rsidR="007E0AB8" w:rsidRPr="00F65431" w:rsidRDefault="004D5DD8">
      <w:pPr>
        <w:rPr>
          <w:b/>
        </w:rPr>
      </w:pPr>
      <w:r w:rsidRPr="00F65431">
        <w:rPr>
          <w:b/>
        </w:rPr>
        <w:t xml:space="preserve">Example #1: Edward Abbey from </w:t>
      </w:r>
      <w:r w:rsidRPr="00F65431">
        <w:rPr>
          <w:b/>
          <w:i/>
        </w:rPr>
        <w:t>One Life at a Time, Please</w:t>
      </w:r>
    </w:p>
    <w:p w:rsidR="007E0AB8" w:rsidRDefault="004D5DD8">
      <w:r>
        <w:t xml:space="preserve">Why write? How justify this mad itch for scribbling? Speaking for myself, I write to entertain my friends and to exasperate our enemies. I write to record the truth of our time as best as I can see it. </w:t>
      </w:r>
      <w:proofErr w:type="gramStart"/>
      <w:r>
        <w:t>To investigate the comedy and tragedy of human relationships.</w:t>
      </w:r>
      <w:proofErr w:type="gramEnd"/>
      <w:r>
        <w:t xml:space="preserve"> To oppose, resist, and sabotage the contemporary drift toward a global technocratic police sate, whatever its ideological coloration. I write to oppose injustice, to defy power, and to speak for the voiceless. </w:t>
      </w:r>
    </w:p>
    <w:p w:rsidR="007E0AB8" w:rsidRDefault="004D5DD8">
      <w:r>
        <w:tab/>
        <w:t xml:space="preserve">I write to make a difference. “It’s always a writer’s duty,” said Samuel Johnson, “to make the world better.” I write to give pleasure and promote aesthetic bliss. </w:t>
      </w:r>
      <w:proofErr w:type="gramStart"/>
      <w:r>
        <w:t>To honor life and to praise the divine beauty of the natural world.</w:t>
      </w:r>
      <w:proofErr w:type="gramEnd"/>
      <w:r>
        <w:t xml:space="preserve"> I write for the joy and exultation of writing itself. </w:t>
      </w:r>
      <w:proofErr w:type="gramStart"/>
      <w:r>
        <w:t>To tell my story.</w:t>
      </w:r>
      <w:proofErr w:type="gramEnd"/>
    </w:p>
    <w:p w:rsidR="007E0AB8" w:rsidRDefault="003459EF"/>
    <w:p w:rsidR="007E0AB8" w:rsidRDefault="004D5DD8">
      <w:pPr>
        <w:rPr>
          <w:b/>
          <w:i/>
        </w:rPr>
      </w:pPr>
      <w:r w:rsidRPr="00F65431">
        <w:rPr>
          <w:b/>
        </w:rPr>
        <w:t xml:space="preserve">Example #2: Annie Dillard from </w:t>
      </w:r>
      <w:r w:rsidRPr="00F65431">
        <w:rPr>
          <w:b/>
          <w:i/>
        </w:rPr>
        <w:t>An American Childhood</w:t>
      </w:r>
    </w:p>
    <w:p w:rsidR="007E0AB8" w:rsidRDefault="004D5DD8">
      <w:r>
        <w:t xml:space="preserve">Judy </w:t>
      </w:r>
      <w:proofErr w:type="spellStart"/>
      <w:proofErr w:type="gramStart"/>
      <w:r>
        <w:t>Schoyer</w:t>
      </w:r>
      <w:proofErr w:type="spellEnd"/>
      <w:r>
        <w:t>,</w:t>
      </w:r>
      <w:proofErr w:type="gramEnd"/>
      <w:r>
        <w:t xml:space="preserve"> was a thin, messy, shy girl whose thick blond curls lapped over her glasses. Her cheeks, chin, nose, and blue eyes were round</w:t>
      </w:r>
      <w:r w:rsidRPr="00F65431">
        <w:rPr>
          <w:b/>
        </w:rPr>
        <w:t>;</w:t>
      </w:r>
      <w:r>
        <w:t xml:space="preserve"> the lenses and frames of her glasses were round, and so were her heavy curls. Her long spine was supple; her legs were long and thin so her knee socks feel down. She did not care if her knee socks fell down. When I first knew her, as my classmate at the Ellis School, she sometimes forgot to comb her hair. She was so shy she tended not to move her head, but only let her eyes rove about. If my mother addressed her, or a teacher, she held her long-legged posture lightly, alert, like a fawn ready to bolt but hoping it camouflage will work a little longer. She spoke softly. She laughed at anything chaotic. Her family took me to the ballet, to the Pittsburgh Symphony, to the Three Rivers Arts Festival; they took me ice skating on a frozen lake in Highland Park, and swimming in </w:t>
      </w:r>
      <w:proofErr w:type="spellStart"/>
      <w:r>
        <w:t>Ohiopyle</w:t>
      </w:r>
      <w:proofErr w:type="spellEnd"/>
      <w:r>
        <w:t>, south of town where the Youghiogheny River widens over flat outcrops.</w:t>
      </w:r>
    </w:p>
    <w:p w:rsidR="007E0AB8" w:rsidRDefault="003459EF"/>
    <w:p w:rsidR="007E0AB8" w:rsidRPr="001E1CAA" w:rsidRDefault="004D5DD8">
      <w:pPr>
        <w:rPr>
          <w:b/>
        </w:rPr>
      </w:pPr>
      <w:r w:rsidRPr="001E1CAA">
        <w:rPr>
          <w:b/>
        </w:rPr>
        <w:t xml:space="preserve">Example #3: Elizabeth Arthur from </w:t>
      </w:r>
      <w:r w:rsidRPr="001E1CAA">
        <w:rPr>
          <w:b/>
          <w:i/>
        </w:rPr>
        <w:t>Looking For the Klondike Stone</w:t>
      </w:r>
    </w:p>
    <w:p w:rsidR="007E0AB8" w:rsidRDefault="004D5DD8">
      <w:r>
        <w:t>In fact, I was a fanatical sort of child—obsessive, perhaps, you would call it—very determined, and always trying to go one step beyond; another way to put this would be to say that I did everything in extremes, from hating to loving, from refusing to try to trying. And while this quality never did make me a diver, or a rider, or an artist, or a carpenter, or a competent player with any size, shape or weight of the ball, it did—joined with Aunt Helen’s belief in me—allow me to find what I was good at, which was sticking with things long after everyone else had given up. Not things that took any particular talent—I don’t mean that, not at all—but things that took no talent, that took only discipline and will, like going for the flag in Capture the Flag, when it was already dark out, and the bell was about to ring anyway, and everyone else was resigned to another dreary draw.</w:t>
      </w:r>
    </w:p>
    <w:p w:rsidR="007E0AB8" w:rsidRDefault="003459EF"/>
    <w:p w:rsidR="007E0AB8" w:rsidRPr="008A4223" w:rsidRDefault="004D5DD8">
      <w:pPr>
        <w:rPr>
          <w:b/>
          <w:i/>
        </w:rPr>
      </w:pPr>
      <w:r w:rsidRPr="008A4223">
        <w:rPr>
          <w:b/>
        </w:rPr>
        <w:t xml:space="preserve">Example #4: Annie Dillard from </w:t>
      </w:r>
      <w:r w:rsidRPr="008A4223">
        <w:rPr>
          <w:b/>
          <w:i/>
        </w:rPr>
        <w:t>An American Childhood</w:t>
      </w:r>
    </w:p>
    <w:p w:rsidR="007E0AB8" w:rsidRPr="00F65431" w:rsidRDefault="004D5DD8">
      <w:r>
        <w:t>And so in that faraway attic, among the boughs of buckeye trees, year after year, I drew. I drew formal, sustained studies of my left hand still on the card table, of my baseball mitt, a saddle shoe. I drew from memory the faces of people I knew, my own family just downstairs in the great house—oh but I hated these clumsy drawings, these beloved faces so rigid on the page and lacking in tenderness and irony. (Who could analyze a numb skull when all you cared about was a lively caught glance, the pleased rising of Mother’s cheek, the soft amused setting of Amy’s lip, Father’s imagining eye in its socket?) And I drew from memory the faces of people I saw in the streets. I formed sentences about them as I looked at them, and repeated the sentences to myself as I wandered on.</w:t>
      </w:r>
    </w:p>
    <w:sectPr w:rsidR="007E0AB8" w:rsidRPr="00F65431" w:rsidSect="007E0AB8">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701"/>
  <w:doNotTrackMoves/>
  <w:defaultTabStop w:val="720"/>
  <w:drawingGridHorizontalSpacing w:val="187"/>
  <w:displayVerticalDrawingGridEvery w:val="2"/>
  <w:noPunctuationKerning/>
  <w:characterSpacingControl w:val="doNotCompress"/>
  <w:compat/>
  <w:rsids>
    <w:rsidRoot w:val="00E12648"/>
    <w:rsid w:val="003459EF"/>
    <w:rsid w:val="004D5DD8"/>
    <w:rsid w:val="004E7750"/>
    <w:rsid w:val="00E12648"/>
    <w:rsid w:val="00FB29B2"/>
  </w:rsids>
  <m:mathPr>
    <m:mathFont m:val="Lucida Grande"/>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9B2"/>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1153</Words>
  <Characters>6577</Characters>
  <Application>Microsoft Macintosh Word</Application>
  <DocSecurity>0</DocSecurity>
  <Lines>54</Lines>
  <Paragraphs>13</Paragraphs>
  <ScaleCrop>false</ScaleCrop>
  <HeadingPairs>
    <vt:vector size="2" baseType="variant">
      <vt:variant>
        <vt:lpstr>Title</vt:lpstr>
      </vt:variant>
      <vt:variant>
        <vt:i4>1</vt:i4>
      </vt:variant>
    </vt:vector>
  </HeadingPairs>
  <TitlesOfParts>
    <vt:vector size="1" baseType="lpstr">
      <vt:lpstr>Example #1: Edward Abbey from One Life at a Time, Please</vt:lpstr>
    </vt:vector>
  </TitlesOfParts>
  <Company/>
  <LinksUpToDate>false</LinksUpToDate>
  <CharactersWithSpaces>8077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#1: Edward Abbey from One Life at a Time, Please</dc:title>
  <dc:creator>Sara &amp; Geof JacobsCarter</dc:creator>
  <cp:lastModifiedBy>SVSU</cp:lastModifiedBy>
  <cp:revision>2</cp:revision>
  <dcterms:created xsi:type="dcterms:W3CDTF">2015-06-30T21:58:00Z</dcterms:created>
  <dcterms:modified xsi:type="dcterms:W3CDTF">2015-06-30T21:58:00Z</dcterms:modified>
</cp:coreProperties>
</file>